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C1" w:rsidRPr="00F166F7" w:rsidRDefault="003F05C1" w:rsidP="003F05C1">
      <w:pPr>
        <w:spacing w:line="408" w:lineRule="auto"/>
        <w:ind w:left="120"/>
        <w:jc w:val="center"/>
      </w:pPr>
      <w:r w:rsidRPr="00F166F7">
        <w:rPr>
          <w:b/>
          <w:color w:val="000000"/>
          <w:sz w:val="28"/>
        </w:rPr>
        <w:t>МИНИСТЕРСТВО ПРОСВЕЩЕНИЯ РОССИЙСКОЙ ФЕДЕРАЦИИ</w:t>
      </w:r>
    </w:p>
    <w:p w:rsidR="003F05C1" w:rsidRPr="00F166F7" w:rsidRDefault="003F05C1" w:rsidP="003F05C1">
      <w:pPr>
        <w:spacing w:line="408" w:lineRule="auto"/>
        <w:ind w:left="120"/>
        <w:jc w:val="center"/>
      </w:pPr>
      <w:bookmarkStart w:id="0" w:name="812d4357-d192-464c-8cb9-e2b95399e3c1"/>
      <w:r w:rsidRPr="00F166F7">
        <w:rPr>
          <w:b/>
          <w:color w:val="000000"/>
          <w:sz w:val="28"/>
        </w:rPr>
        <w:t>Алтайский край</w:t>
      </w:r>
      <w:bookmarkEnd w:id="0"/>
      <w:r w:rsidRPr="00F166F7">
        <w:rPr>
          <w:b/>
          <w:color w:val="000000"/>
          <w:sz w:val="28"/>
        </w:rPr>
        <w:t xml:space="preserve"> </w:t>
      </w:r>
    </w:p>
    <w:p w:rsidR="003F05C1" w:rsidRPr="00F166F7" w:rsidRDefault="003F05C1" w:rsidP="003F05C1">
      <w:pPr>
        <w:spacing w:line="408" w:lineRule="auto"/>
        <w:ind w:left="120"/>
        <w:jc w:val="center"/>
      </w:pPr>
      <w:bookmarkStart w:id="1" w:name="fbdca4d6-6503-4562-ae3d-2793f9a86394"/>
      <w:r w:rsidRPr="00F166F7">
        <w:rPr>
          <w:b/>
          <w:color w:val="000000"/>
          <w:sz w:val="28"/>
        </w:rPr>
        <w:t>Краснощёковский район</w:t>
      </w:r>
      <w:bookmarkEnd w:id="1"/>
    </w:p>
    <w:p w:rsidR="003F05C1" w:rsidRPr="00F166F7" w:rsidRDefault="003F05C1" w:rsidP="003F05C1">
      <w:pPr>
        <w:spacing w:line="408" w:lineRule="auto"/>
        <w:ind w:left="120"/>
        <w:jc w:val="center"/>
      </w:pPr>
      <w:r w:rsidRPr="00F166F7">
        <w:rPr>
          <w:b/>
          <w:color w:val="000000"/>
          <w:sz w:val="28"/>
        </w:rPr>
        <w:t>МКОУ "Харловская СОШ "</w:t>
      </w: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tbl>
      <w:tblPr>
        <w:tblW w:w="0" w:type="auto"/>
        <w:tblLook w:val="04A0"/>
      </w:tblPr>
      <w:tblGrid>
        <w:gridCol w:w="3113"/>
        <w:gridCol w:w="3058"/>
        <w:gridCol w:w="3115"/>
      </w:tblGrid>
      <w:tr w:rsidR="003F05C1" w:rsidRPr="00FD3E1B" w:rsidTr="00C461F6">
        <w:tc>
          <w:tcPr>
            <w:tcW w:w="3114" w:type="dxa"/>
          </w:tcPr>
          <w:p w:rsidR="003F05C1" w:rsidRPr="0040209D" w:rsidRDefault="003F05C1" w:rsidP="00C461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F05C1" w:rsidRDefault="003F05C1" w:rsidP="00C461F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3F05C1" w:rsidRPr="008944ED" w:rsidRDefault="003F05C1" w:rsidP="00C461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3F05C1" w:rsidRDefault="003F05C1" w:rsidP="00C461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F05C1" w:rsidRPr="008944ED" w:rsidRDefault="003F05C1" w:rsidP="00C461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F05C1" w:rsidRDefault="003F05C1" w:rsidP="00C461F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«[22» 08</w:t>
            </w:r>
            <w:r w:rsidRPr="00786B3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3F05C1" w:rsidRPr="0040209D" w:rsidRDefault="003F05C1" w:rsidP="00C461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05C1" w:rsidRPr="0040209D" w:rsidRDefault="003F05C1" w:rsidP="00C461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05C1" w:rsidRDefault="003F05C1" w:rsidP="00C461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F05C1" w:rsidRPr="008944ED" w:rsidRDefault="003F05C1" w:rsidP="00C461F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3F05C1" w:rsidRDefault="003F05C1" w:rsidP="00C461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F05C1" w:rsidRPr="008944ED" w:rsidRDefault="003F05C1" w:rsidP="00C461F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Домненко А.М.</w:t>
            </w:r>
          </w:p>
          <w:p w:rsidR="003F05C1" w:rsidRDefault="003F05C1" w:rsidP="00C461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</w:t>
            </w:r>
          </w:p>
          <w:p w:rsidR="003F05C1" w:rsidRDefault="003F05C1" w:rsidP="00C461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     » 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3F05C1" w:rsidRPr="0040209D" w:rsidRDefault="003F05C1" w:rsidP="00C461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05C1" w:rsidRPr="00F166F7" w:rsidRDefault="003F05C1" w:rsidP="003F05C1">
      <w:pPr>
        <w:ind w:left="120"/>
      </w:pPr>
    </w:p>
    <w:p w:rsidR="003F05C1" w:rsidRDefault="003F05C1" w:rsidP="003F05C1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3F05C1" w:rsidRDefault="003F05C1" w:rsidP="003F05C1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33665A">
        <w:rPr>
          <w:sz w:val="32"/>
          <w:szCs w:val="32"/>
        </w:rPr>
        <w:t>Адаптированная рабочая программа</w:t>
      </w:r>
    </w:p>
    <w:p w:rsidR="003F05C1" w:rsidRDefault="003F05C1" w:rsidP="003F05C1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3F05C1" w:rsidRPr="0033665A" w:rsidRDefault="003F05C1" w:rsidP="003F05C1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3F05C1" w:rsidRDefault="003F05C1" w:rsidP="003F05C1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«Биология»</w:t>
      </w:r>
    </w:p>
    <w:p w:rsidR="003F05C1" w:rsidRDefault="003F05C1" w:rsidP="003F05C1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3F05C1" w:rsidRPr="0033665A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</w:p>
    <w:p w:rsidR="003F05C1" w:rsidRPr="00F166F7" w:rsidRDefault="003F05C1" w:rsidP="003F05C1">
      <w:pPr>
        <w:ind w:left="120"/>
        <w:jc w:val="center"/>
      </w:pPr>
      <w:bookmarkStart w:id="2" w:name="1409a51a-857c-49b4-8420-37a2d161ed0e"/>
      <w:r w:rsidRPr="00F166F7">
        <w:rPr>
          <w:b/>
          <w:color w:val="000000"/>
          <w:sz w:val="28"/>
        </w:rPr>
        <w:t>село Харлово</w:t>
      </w:r>
      <w:bookmarkEnd w:id="2"/>
      <w:r w:rsidRPr="00F166F7">
        <w:rPr>
          <w:b/>
          <w:color w:val="000000"/>
          <w:sz w:val="28"/>
        </w:rPr>
        <w:t xml:space="preserve"> </w:t>
      </w:r>
      <w:bookmarkStart w:id="3" w:name="282c3466-5cb3-4ab4-9a19-f7da1f5cd792"/>
      <w:r w:rsidRPr="00F166F7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C7377D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C7377D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C7377D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C7377D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C7377D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39324071"/>
      <w:bookmarkStart w:id="5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  <w:bookmarkEnd w:id="5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eading=h.30j0zll" w:colFirst="0" w:colLast="0"/>
      <w:bookmarkEnd w:id="6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8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39324072"/>
      <w:bookmarkStart w:id="8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7"/>
      <w:bookmarkEnd w:id="8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5082"/>
      <w:bookmarkStart w:id="10" w:name="_Hlk138962750"/>
      <w:bookmarkStart w:id="11" w:name="_Hlk138961499"/>
      <w:bookmarkStart w:id="12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3" w:name="_Hlk138962780"/>
      <w:bookmarkEnd w:id="10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4" w:name="_Hlk138961830"/>
      <w:bookmarkEnd w:id="11"/>
      <w:bookmarkEnd w:id="13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6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7" w:name="_heading=h.ha5t6xo5ig3n"/>
      <w:bookmarkEnd w:id="12"/>
      <w:bookmarkEnd w:id="17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9324073"/>
      <w:bookmarkStart w:id="19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корнеплод свеклы, моркови; корнеклубень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вания и посадки окорененных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с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3E" w:rsidRDefault="00AB2C3E" w:rsidP="007C01DE">
      <w:r>
        <w:separator/>
      </w:r>
    </w:p>
  </w:endnote>
  <w:endnote w:type="continuationSeparator" w:id="1">
    <w:p w:rsidR="00AB2C3E" w:rsidRDefault="00AB2C3E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C7377D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3F05C1">
          <w:rPr>
            <w:noProof/>
          </w:rPr>
          <w:t>17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3E" w:rsidRDefault="00AB2C3E" w:rsidP="007C01DE">
      <w:r>
        <w:separator/>
      </w:r>
    </w:p>
  </w:footnote>
  <w:footnote w:type="continuationSeparator" w:id="1">
    <w:p w:rsidR="00AB2C3E" w:rsidRDefault="00AB2C3E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0C75F6"/>
    <w:rsid w:val="00122431"/>
    <w:rsid w:val="001C177D"/>
    <w:rsid w:val="002D41F2"/>
    <w:rsid w:val="003F05C1"/>
    <w:rsid w:val="00437373"/>
    <w:rsid w:val="00671A84"/>
    <w:rsid w:val="006C43CF"/>
    <w:rsid w:val="007C01DE"/>
    <w:rsid w:val="009C5887"/>
    <w:rsid w:val="009F24F1"/>
    <w:rsid w:val="00AB2C3E"/>
    <w:rsid w:val="00AB50BA"/>
    <w:rsid w:val="00BD71FD"/>
    <w:rsid w:val="00C7377D"/>
    <w:rsid w:val="00CA32A4"/>
    <w:rsid w:val="00E23F6E"/>
    <w:rsid w:val="00E660D9"/>
    <w:rsid w:val="00EC5867"/>
    <w:rsid w:val="00F12316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408C-76E2-D04A-A266-8F17AFD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9906</Words>
  <Characters>56468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Наталья</cp:lastModifiedBy>
  <cp:revision>3</cp:revision>
  <dcterms:created xsi:type="dcterms:W3CDTF">2024-08-25T08:50:00Z</dcterms:created>
  <dcterms:modified xsi:type="dcterms:W3CDTF">2024-08-25T09:29:00Z</dcterms:modified>
</cp:coreProperties>
</file>